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F88" w:rsidRPr="00C918FC" w:rsidRDefault="00C918FC" w:rsidP="00C918FC">
      <w:pPr>
        <w:jc w:val="center"/>
        <w:rPr>
          <w:b/>
        </w:rPr>
      </w:pPr>
      <w:r w:rsidRPr="00C918FC">
        <w:rPr>
          <w:b/>
        </w:rPr>
        <w:t>Welcome to A-level Biology transition.</w:t>
      </w:r>
    </w:p>
    <w:p w:rsidR="00C918FC" w:rsidRDefault="00C918FC">
      <w:r>
        <w:t xml:space="preserve">Please read this document first before you begin any of the tasks. This is an outline of the course we offer at KNGS </w:t>
      </w:r>
    </w:p>
    <w:p w:rsidR="00C918FC" w:rsidRPr="00C918FC" w:rsidRDefault="00C918FC">
      <w:pPr>
        <w:rPr>
          <w:u w:val="single"/>
        </w:rPr>
      </w:pPr>
      <w:r w:rsidRPr="00C918FC">
        <w:rPr>
          <w:u w:val="single"/>
        </w:rPr>
        <w:t>Entry requirements</w:t>
      </w:r>
    </w:p>
    <w:p w:rsidR="00C918FC" w:rsidRDefault="00C918FC">
      <w:r>
        <w:t xml:space="preserve">Our usual entry requirements for the course are a grade 7 in separates biology or combined science and a grade 6 in maths. </w:t>
      </w:r>
    </w:p>
    <w:p w:rsidR="00C918FC" w:rsidRPr="00C918FC" w:rsidRDefault="00C918FC">
      <w:pPr>
        <w:rPr>
          <w:u w:val="single"/>
        </w:rPr>
      </w:pPr>
      <w:r w:rsidRPr="00C918FC">
        <w:rPr>
          <w:u w:val="single"/>
        </w:rPr>
        <w:t>Exam board</w:t>
      </w:r>
    </w:p>
    <w:p w:rsidR="00C918FC" w:rsidRDefault="00C918FC">
      <w:r>
        <w:t xml:space="preserve">The course is </w:t>
      </w:r>
      <w:r w:rsidRPr="00C918FC">
        <w:rPr>
          <w:b/>
        </w:rPr>
        <w:t>OCR Biology A</w:t>
      </w:r>
      <w:r>
        <w:t xml:space="preserve"> </w:t>
      </w:r>
    </w:p>
    <w:p w:rsidR="00C918FC" w:rsidRDefault="00C918FC">
      <w:r w:rsidRPr="00C918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FE2E8" wp14:editId="18F0C948">
                <wp:simplePos x="0" y="0"/>
                <wp:positionH relativeFrom="column">
                  <wp:posOffset>-346842</wp:posOffset>
                </wp:positionH>
                <wp:positionV relativeFrom="paragraph">
                  <wp:posOffset>192011</wp:posOffset>
                </wp:positionV>
                <wp:extent cx="6341679" cy="3124200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41679" cy="312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18FC" w:rsidRPr="00C918FC" w:rsidRDefault="00C918FC" w:rsidP="00C918FC">
                            <w:pPr>
                              <w:spacing w:line="240" w:lineRule="auto"/>
                              <w:ind w:left="360"/>
                              <w:rPr>
                                <w:rFonts w:eastAsia="Times New Roman"/>
                              </w:rPr>
                            </w:pPr>
                            <w:r w:rsidRPr="00C918F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Module 1- Development of practical skills in biology</w:t>
                            </w:r>
                          </w:p>
                          <w:p w:rsidR="00C918FC" w:rsidRPr="00C918FC" w:rsidRDefault="00C918FC" w:rsidP="00C918FC">
                            <w:pPr>
                              <w:spacing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918F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Module 2 – Foundations in biology</w:t>
                            </w:r>
                          </w:p>
                          <w:p w:rsidR="00C918FC" w:rsidRPr="00C918FC" w:rsidRDefault="00C918FC" w:rsidP="00C918FC">
                            <w:pPr>
                              <w:spacing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918F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C918FC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</w:rPr>
                              <w:t xml:space="preserve">2.1.1 Cell structure 2.1.2 Biological molecules 2.1.3 Nucleotides and nucleic acids 2.1.4 Enzymes 2.1.5 Biological membranes 2.1.6 Cell division, cell diversity and cellular organisation </w:t>
                            </w:r>
                          </w:p>
                          <w:p w:rsidR="00C918FC" w:rsidRPr="00C918FC" w:rsidRDefault="00C918FC" w:rsidP="00C918FC">
                            <w:pPr>
                              <w:spacing w:line="240" w:lineRule="auto"/>
                              <w:ind w:left="360"/>
                              <w:rPr>
                                <w:rFonts w:eastAsia="Times New Roman"/>
                              </w:rPr>
                            </w:pPr>
                            <w:r w:rsidRPr="00C918F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Module 3 – Exchange and transport </w:t>
                            </w:r>
                            <w:r w:rsidRPr="00C918FC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</w:rPr>
                              <w:t xml:space="preserve">3.1.1 Exchange surfaces 3.1.2 Transport in animals 3.1.3 Transport in plants </w:t>
                            </w:r>
                          </w:p>
                          <w:p w:rsidR="00C918FC" w:rsidRPr="00C918FC" w:rsidRDefault="00C918FC" w:rsidP="00C918FC">
                            <w:pPr>
                              <w:spacing w:line="240" w:lineRule="auto"/>
                              <w:ind w:left="360"/>
                              <w:rPr>
                                <w:rFonts w:eastAsia="Times New Roman"/>
                              </w:rPr>
                            </w:pPr>
                            <w:r w:rsidRPr="00C918F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Module 4 – Biodiversity, evolution and disease </w:t>
                            </w:r>
                            <w:r w:rsidRPr="00C918FC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</w:rPr>
                              <w:t xml:space="preserve">4.1.1 Communicable diseases, disease prevention and the immune system 4.2.1 Biodiversity 4.2.2 Classification and evolution </w:t>
                            </w:r>
                          </w:p>
                          <w:p w:rsidR="00C918FC" w:rsidRPr="00C918FC" w:rsidRDefault="00C918FC" w:rsidP="00C918FC">
                            <w:pPr>
                              <w:spacing w:line="240" w:lineRule="auto"/>
                              <w:ind w:left="360"/>
                              <w:rPr>
                                <w:rFonts w:eastAsia="Times New Roman"/>
                              </w:rPr>
                            </w:pPr>
                            <w:r w:rsidRPr="00C918F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Module 5 – Communication, homeostasis and energy </w:t>
                            </w:r>
                            <w:r w:rsidRPr="00C918FC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</w:rPr>
                              <w:t xml:space="preserve">5.1.1 Communication and homeostasis 5.1.2 Excretion as an example of homeostatic control 5.1.3 Neuronal communication 5.1.4 Hormonal communication 5.1.5 Plant and animal responses 5.2.1 Photosynthesis 5.2.2 Respiration </w:t>
                            </w:r>
                          </w:p>
                          <w:p w:rsidR="00C918FC" w:rsidRPr="00C918FC" w:rsidRDefault="00C918FC" w:rsidP="00C918FC">
                            <w:pPr>
                              <w:spacing w:line="240" w:lineRule="auto"/>
                              <w:ind w:left="360"/>
                              <w:rPr>
                                <w:rFonts w:eastAsia="Times New Roman"/>
                              </w:rPr>
                            </w:pPr>
                            <w:r w:rsidRPr="00C918F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Module 6 – Genetics, evolution and ecosystems </w:t>
                            </w:r>
                            <w:r w:rsidRPr="00C918FC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</w:rPr>
                              <w:t>6.1.1 Cellular control 6.1.2 Patterns of inheritance 6.1.3 Manipulating genomes 6.2.1 Cloning and biotechnology 6.3.1 Ecosystems 6.3.2 Populations and sustainability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FE2E8" id="Content Placeholder 2" o:spid="_x0000_s1026" style="position:absolute;margin-left:-27.3pt;margin-top:15.1pt;width:499.35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" filled="f" stroked="f">
                <o:lock v:ext="edit" grouping="t"/>
                <v:textbox>
                  <w:txbxContent>
                    <w:p w:rsidR="00C918FC" w:rsidRPr="00C918FC" w:rsidRDefault="00C918FC" w:rsidP="00C918FC">
                      <w:pPr>
                        <w:spacing w:line="240" w:lineRule="auto"/>
                        <w:ind w:left="360"/>
                        <w:rPr>
                          <w:rFonts w:eastAsia="Times New Roman"/>
                        </w:rPr>
                      </w:pPr>
                      <w:r w:rsidRPr="00C918F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>Module 1- Development of practical skills in biology</w:t>
                      </w:r>
                    </w:p>
                    <w:p w:rsidR="00C918FC" w:rsidRPr="00C918FC" w:rsidRDefault="00C918FC" w:rsidP="00C918FC">
                      <w:pPr>
                        <w:spacing w:line="240" w:lineRule="auto"/>
                        <w:ind w:left="36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918F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>Module 2 – Foundations in biology</w:t>
                      </w:r>
                    </w:p>
                    <w:p w:rsidR="00C918FC" w:rsidRPr="00C918FC" w:rsidRDefault="00C918FC" w:rsidP="00C918FC">
                      <w:pPr>
                        <w:spacing w:line="240" w:lineRule="auto"/>
                        <w:ind w:left="36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918F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C918FC">
                        <w:rPr>
                          <w:rFonts w:ascii="Calibri" w:hAnsi="Calibri" w:cs="Calibri"/>
                          <w:color w:val="000000" w:themeColor="text1"/>
                          <w:kern w:val="24"/>
                        </w:rPr>
                        <w:t xml:space="preserve">2.1.1 Cell structure 2.1.2 Biological molecules 2.1.3 Nucleotides and nucleic acids 2.1.4 Enzymes 2.1.5 Biological membranes 2.1.6 Cell division, cell diversity and cellular organisation </w:t>
                      </w:r>
                    </w:p>
                    <w:p w:rsidR="00C918FC" w:rsidRPr="00C918FC" w:rsidRDefault="00C918FC" w:rsidP="00C918FC">
                      <w:pPr>
                        <w:spacing w:line="240" w:lineRule="auto"/>
                        <w:ind w:left="360"/>
                        <w:rPr>
                          <w:rFonts w:eastAsia="Times New Roman"/>
                        </w:rPr>
                      </w:pPr>
                      <w:r w:rsidRPr="00C918F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Module 3 – Exchange and transport </w:t>
                      </w:r>
                      <w:r w:rsidRPr="00C918FC">
                        <w:rPr>
                          <w:rFonts w:ascii="Calibri" w:hAnsi="Calibri" w:cs="Calibri"/>
                          <w:color w:val="000000" w:themeColor="text1"/>
                          <w:kern w:val="24"/>
                        </w:rPr>
                        <w:t xml:space="preserve">3.1.1 Exchange surfaces 3.1.2 Transport in animals 3.1.3 Transport in plants </w:t>
                      </w:r>
                    </w:p>
                    <w:p w:rsidR="00C918FC" w:rsidRPr="00C918FC" w:rsidRDefault="00C918FC" w:rsidP="00C918FC">
                      <w:pPr>
                        <w:spacing w:line="240" w:lineRule="auto"/>
                        <w:ind w:left="360"/>
                        <w:rPr>
                          <w:rFonts w:eastAsia="Times New Roman"/>
                        </w:rPr>
                      </w:pPr>
                      <w:r w:rsidRPr="00C918F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Module 4 – Biodiversity, evolution and disease </w:t>
                      </w:r>
                      <w:r w:rsidRPr="00C918FC">
                        <w:rPr>
                          <w:rFonts w:ascii="Calibri" w:hAnsi="Calibri" w:cs="Calibri"/>
                          <w:color w:val="000000" w:themeColor="text1"/>
                          <w:kern w:val="24"/>
                        </w:rPr>
                        <w:t xml:space="preserve">4.1.1 Communicable diseases, disease prevention and the immune system 4.2.1 Biodiversity 4.2.2 Classification and evolution </w:t>
                      </w:r>
                    </w:p>
                    <w:p w:rsidR="00C918FC" w:rsidRPr="00C918FC" w:rsidRDefault="00C918FC" w:rsidP="00C918FC">
                      <w:pPr>
                        <w:spacing w:line="240" w:lineRule="auto"/>
                        <w:ind w:left="360"/>
                        <w:rPr>
                          <w:rFonts w:eastAsia="Times New Roman"/>
                        </w:rPr>
                      </w:pPr>
                      <w:r w:rsidRPr="00C918F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Module 5 – Communication, homeostasis and energy </w:t>
                      </w:r>
                      <w:r w:rsidRPr="00C918FC">
                        <w:rPr>
                          <w:rFonts w:ascii="Calibri" w:hAnsi="Calibri" w:cs="Calibri"/>
                          <w:color w:val="000000" w:themeColor="text1"/>
                          <w:kern w:val="24"/>
                        </w:rPr>
                        <w:t xml:space="preserve">5.1.1 Communication and homeostasis 5.1.2 Excretion as an example of homeostatic control 5.1.3 Neuronal communication 5.1.4 Hormonal communication 5.1.5 Plant and animal responses 5.2.1 Photosynthesis 5.2.2 Respiration </w:t>
                      </w:r>
                    </w:p>
                    <w:p w:rsidR="00C918FC" w:rsidRPr="00C918FC" w:rsidRDefault="00C918FC" w:rsidP="00C918FC">
                      <w:pPr>
                        <w:spacing w:line="240" w:lineRule="auto"/>
                        <w:ind w:left="360"/>
                        <w:rPr>
                          <w:rFonts w:eastAsia="Times New Roman"/>
                        </w:rPr>
                      </w:pPr>
                      <w:r w:rsidRPr="00C918F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Module 6 – Genetics, evolution and ecosystems </w:t>
                      </w:r>
                      <w:r w:rsidRPr="00C918FC">
                        <w:rPr>
                          <w:rFonts w:ascii="Calibri" w:hAnsi="Calibri" w:cs="Calibri"/>
                          <w:color w:val="000000" w:themeColor="text1"/>
                          <w:kern w:val="24"/>
                        </w:rPr>
                        <w:t>6.1.1 Cellular control 6.1.2 Patterns of inheritance 6.1.3 Manipulating genomes 6.2.1 Cloning and biotechnology 6.3.1 Ecosystems 6.3.2 Populations and sustainability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Over the course of 2 years you will study 6 modules as outlined below. </w:t>
      </w:r>
    </w:p>
    <w:p w:rsidR="00C918FC" w:rsidRDefault="00C918FC"/>
    <w:p w:rsidR="00C918FC" w:rsidRDefault="00C918FC"/>
    <w:p w:rsidR="00C918FC" w:rsidRDefault="00C918FC"/>
    <w:p w:rsidR="00C918FC" w:rsidRDefault="00C918FC"/>
    <w:p w:rsidR="00C918FC" w:rsidRDefault="00C918FC"/>
    <w:p w:rsidR="00C918FC" w:rsidRDefault="00C918FC"/>
    <w:p w:rsidR="00C918FC" w:rsidRDefault="00C918FC"/>
    <w:p w:rsidR="00C918FC" w:rsidRDefault="00C918FC"/>
    <w:p w:rsidR="00C918FC" w:rsidRDefault="00C918FC"/>
    <w:p w:rsidR="00C918FC" w:rsidRDefault="00C918FC"/>
    <w:p w:rsidR="00C918FC" w:rsidRDefault="00C918FC"/>
    <w:p w:rsidR="00C918FC" w:rsidRDefault="00C918FC">
      <w:pPr>
        <w:rPr>
          <w:u w:val="single"/>
        </w:rPr>
      </w:pPr>
      <w:r w:rsidRPr="00C918FC">
        <w:rPr>
          <w:u w:val="single"/>
        </w:rPr>
        <w:t xml:space="preserve">Assessment </w:t>
      </w:r>
    </w:p>
    <w:p w:rsidR="00C918FC" w:rsidRDefault="00C918FC">
      <w:r>
        <w:t xml:space="preserve">Throughout the course you will be assessed regularly, including weekly knowledge tests and longer end of topic tests. Within the first few weeks of studying A-level biology you will be assessed on </w:t>
      </w:r>
      <w:r w:rsidR="00C95B37">
        <w:t xml:space="preserve">your transition work and an assessment of the course so far. The final exams at the end of Y13 are structured as outlined below. </w:t>
      </w:r>
    </w:p>
    <w:p w:rsidR="00C95B37" w:rsidRDefault="00C95B37"/>
    <w:p w:rsidR="00C95B37" w:rsidRDefault="00C95B37"/>
    <w:p w:rsidR="00C95B37" w:rsidRDefault="00C95B37"/>
    <w:p w:rsidR="00C95B37" w:rsidRDefault="00C95B37"/>
    <w:p w:rsidR="00C95B37" w:rsidRDefault="00C95B37"/>
    <w:p w:rsidR="00C95B37" w:rsidRDefault="00C95B37"/>
    <w:tbl>
      <w:tblPr>
        <w:tblW w:w="8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1895"/>
        <w:gridCol w:w="1471"/>
        <w:gridCol w:w="1449"/>
        <w:gridCol w:w="1360"/>
      </w:tblGrid>
      <w:tr w:rsidR="00C7172C" w:rsidRPr="00C95B37" w:rsidTr="00C7172C">
        <w:trPr>
          <w:trHeight w:val="412"/>
        </w:trPr>
        <w:tc>
          <w:tcPr>
            <w:tcW w:w="1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rPr>
                <w:b/>
                <w:bCs/>
              </w:rPr>
              <w:lastRenderedPageBreak/>
              <w:t xml:space="preserve">Title </w:t>
            </w:r>
          </w:p>
        </w:tc>
        <w:tc>
          <w:tcPr>
            <w:tcW w:w="1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rPr>
                <w:b/>
                <w:bCs/>
              </w:rPr>
              <w:t>Modules assessed</w:t>
            </w:r>
          </w:p>
        </w:tc>
        <w:tc>
          <w:tcPr>
            <w:tcW w:w="14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rPr>
                <w:b/>
                <w:bCs/>
              </w:rPr>
              <w:t>Duration of exam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rPr>
                <w:b/>
                <w:bCs/>
              </w:rPr>
              <w:t>Number of marks available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rPr>
                <w:b/>
                <w:bCs/>
              </w:rPr>
              <w:t>Proportion of A-level</w:t>
            </w:r>
          </w:p>
        </w:tc>
      </w:tr>
      <w:tr w:rsidR="00C7172C" w:rsidRPr="00C95B37" w:rsidTr="00C7172C">
        <w:trPr>
          <w:trHeight w:val="421"/>
        </w:trPr>
        <w:tc>
          <w:tcPr>
            <w:tcW w:w="1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rPr>
                <w:b/>
                <w:bCs/>
              </w:rPr>
              <w:t>Biological processes</w:t>
            </w:r>
          </w:p>
        </w:tc>
        <w:tc>
          <w:tcPr>
            <w:tcW w:w="1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t>1,2,3,5</w:t>
            </w:r>
          </w:p>
        </w:tc>
        <w:tc>
          <w:tcPr>
            <w:tcW w:w="14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t>2 hour 15 minutes written paper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t>100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t>37 %</w:t>
            </w:r>
          </w:p>
        </w:tc>
      </w:tr>
      <w:tr w:rsidR="00C7172C" w:rsidRPr="00C95B37" w:rsidTr="00C7172C">
        <w:trPr>
          <w:trHeight w:val="421"/>
        </w:trPr>
        <w:tc>
          <w:tcPr>
            <w:tcW w:w="1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rPr>
                <w:b/>
                <w:bCs/>
              </w:rPr>
              <w:t>Biological diversity</w:t>
            </w:r>
          </w:p>
        </w:tc>
        <w:tc>
          <w:tcPr>
            <w:tcW w:w="1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t>1,2,4,6</w:t>
            </w:r>
          </w:p>
        </w:tc>
        <w:tc>
          <w:tcPr>
            <w:tcW w:w="14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t>2 hour 15 minutes written paper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t>100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t>37 %</w:t>
            </w:r>
          </w:p>
        </w:tc>
      </w:tr>
      <w:tr w:rsidR="00C7172C" w:rsidRPr="00C95B37" w:rsidTr="00C7172C">
        <w:trPr>
          <w:trHeight w:val="421"/>
        </w:trPr>
        <w:tc>
          <w:tcPr>
            <w:tcW w:w="1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rPr>
                <w:b/>
                <w:bCs/>
              </w:rPr>
              <w:t xml:space="preserve">Unified Biology </w:t>
            </w:r>
          </w:p>
        </w:tc>
        <w:tc>
          <w:tcPr>
            <w:tcW w:w="1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t>1,2,3,4,5,6</w:t>
            </w:r>
          </w:p>
        </w:tc>
        <w:tc>
          <w:tcPr>
            <w:tcW w:w="14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t>1 hour 30 minutes written paper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t>70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t>26 %</w:t>
            </w:r>
          </w:p>
        </w:tc>
      </w:tr>
      <w:tr w:rsidR="00C7172C" w:rsidRPr="00C95B37" w:rsidTr="00C7172C">
        <w:trPr>
          <w:trHeight w:val="757"/>
        </w:trPr>
        <w:tc>
          <w:tcPr>
            <w:tcW w:w="1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rPr>
                <w:b/>
                <w:bCs/>
              </w:rPr>
              <w:t>Practical endorsement</w:t>
            </w:r>
          </w:p>
        </w:tc>
        <w:tc>
          <w:tcPr>
            <w:tcW w:w="18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t xml:space="preserve">Non exam assessment </w:t>
            </w:r>
          </w:p>
        </w:tc>
        <w:tc>
          <w:tcPr>
            <w:tcW w:w="14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t> 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t> 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B37" w:rsidRPr="00C95B37" w:rsidRDefault="00C95B37" w:rsidP="00C95B37">
            <w:r w:rsidRPr="00C95B37">
              <w:t> </w:t>
            </w:r>
          </w:p>
        </w:tc>
      </w:tr>
    </w:tbl>
    <w:p w:rsidR="00C95B37" w:rsidRDefault="00C95B37"/>
    <w:p w:rsidR="00C95B37" w:rsidRDefault="00C95B37">
      <w:r>
        <w:t xml:space="preserve">The practical endorsement is awarded following the students keeping a log book documenting the practical experiments completed during the course. </w:t>
      </w:r>
    </w:p>
    <w:p w:rsidR="00C95B37" w:rsidRDefault="00C95B37">
      <w:pPr>
        <w:rPr>
          <w:u w:val="single"/>
        </w:rPr>
      </w:pPr>
      <w:r w:rsidRPr="00C95B37">
        <w:rPr>
          <w:u w:val="single"/>
        </w:rPr>
        <w:t xml:space="preserve">Expectations during the course </w:t>
      </w:r>
    </w:p>
    <w:p w:rsidR="00C7172C" w:rsidRDefault="00D53C12" w:rsidP="00C7172C">
      <w:pPr>
        <w:spacing w:line="240" w:lineRule="auto"/>
      </w:pPr>
      <w:r w:rsidRPr="00C95B37">
        <w:t>Attend all lessons (catch up when ill)</w:t>
      </w:r>
      <w:r w:rsidR="00C7172C">
        <w:t xml:space="preserve"> on time and fully equipped with all notes and homework. (You may be turned away from lessons if you have not completed tasks required for the lesson)</w:t>
      </w:r>
    </w:p>
    <w:p w:rsidR="00C7172C" w:rsidRDefault="00D53C12" w:rsidP="00C7172C">
      <w:pPr>
        <w:spacing w:line="240" w:lineRule="auto"/>
      </w:pPr>
      <w:r w:rsidRPr="00C95B37">
        <w:t>If you have any problems with work or deadlines that you see your teachers before the next lesson Learn knowledge facts and attain pass rate in weekly knowledge tests (80% pass)</w:t>
      </w:r>
    </w:p>
    <w:p w:rsidR="00915A66" w:rsidRPr="00C95B37" w:rsidRDefault="00D53C12" w:rsidP="00C7172C">
      <w:pPr>
        <w:spacing w:line="240" w:lineRule="auto"/>
      </w:pPr>
      <w:r w:rsidRPr="00C95B37">
        <w:t>Attend subject clinic when asked or placed on success plan</w:t>
      </w:r>
    </w:p>
    <w:p w:rsidR="00915A66" w:rsidRPr="00C95B37" w:rsidRDefault="00D53C12" w:rsidP="00C7172C">
      <w:pPr>
        <w:spacing w:line="240" w:lineRule="auto"/>
      </w:pPr>
      <w:r w:rsidRPr="00C95B37">
        <w:t>Hard work, effort and determination put into every lesson and your independent work!</w:t>
      </w:r>
    </w:p>
    <w:p w:rsidR="00915A66" w:rsidRDefault="00D53C12" w:rsidP="00C7172C">
      <w:pPr>
        <w:spacing w:line="240" w:lineRule="auto"/>
      </w:pPr>
      <w:r w:rsidRPr="00C95B37">
        <w:t>Reflect/respond to any feedback given</w:t>
      </w:r>
    </w:p>
    <w:p w:rsidR="00C7172C" w:rsidRDefault="00C7172C" w:rsidP="00C7172C">
      <w:pPr>
        <w:spacing w:line="240" w:lineRule="auto"/>
        <w:rPr>
          <w:u w:val="single"/>
        </w:rPr>
      </w:pPr>
      <w:r w:rsidRPr="00C7172C">
        <w:rPr>
          <w:u w:val="single"/>
        </w:rPr>
        <w:t>Teaching</w:t>
      </w:r>
    </w:p>
    <w:p w:rsidR="00C7172C" w:rsidRDefault="00C7172C" w:rsidP="00C7172C">
      <w:pPr>
        <w:spacing w:line="240" w:lineRule="auto"/>
      </w:pPr>
      <w:r>
        <w:t xml:space="preserve">You will have two specialist biology teachers, each is timetabled to teach you for 5 hours a fortnight and set you 5 hours of homework. The teachers make themselves available during a subject clinic after school one evening a week and by email at other times, or break and lunch by appointment. </w:t>
      </w:r>
    </w:p>
    <w:p w:rsidR="00C7172C" w:rsidRDefault="00C7172C" w:rsidP="00C7172C">
      <w:pPr>
        <w:spacing w:line="240" w:lineRule="auto"/>
        <w:rPr>
          <w:u w:val="single"/>
        </w:rPr>
      </w:pPr>
      <w:r w:rsidRPr="00C7172C">
        <w:rPr>
          <w:u w:val="single"/>
        </w:rPr>
        <w:t>Note keeping</w:t>
      </w:r>
    </w:p>
    <w:p w:rsidR="00D53C12" w:rsidRDefault="00C7172C" w:rsidP="00C7172C">
      <w:pPr>
        <w:spacing w:line="240" w:lineRule="auto"/>
      </w:pPr>
      <w:r>
        <w:t xml:space="preserve">Over the course, you will be given lots of handouts, worksheets, assessments, homework etc. This needs to be organised into a lever arch folder. There will be regular folder checks, the example layout of your folder </w:t>
      </w:r>
      <w:r w:rsidR="00D53C12">
        <w:t>and organisation is saved in this folder also. (Please note this is an example only)</w:t>
      </w:r>
    </w:p>
    <w:p w:rsidR="0016080D" w:rsidRDefault="0016080D" w:rsidP="00C7172C">
      <w:pPr>
        <w:spacing w:line="240" w:lineRule="auto"/>
      </w:pPr>
    </w:p>
    <w:p w:rsidR="0016080D" w:rsidRPr="00C7172C" w:rsidRDefault="0016080D" w:rsidP="00C7172C">
      <w:pPr>
        <w:spacing w:line="240" w:lineRule="auto"/>
      </w:pPr>
      <w:r w:rsidRPr="0016080D">
        <w:t>If you have any questions or concerns please email me at screwe@kngs.co.uk</w:t>
      </w:r>
    </w:p>
    <w:p w:rsidR="00C7172C" w:rsidRPr="00C7172C" w:rsidRDefault="00C7172C" w:rsidP="00C7172C">
      <w:pPr>
        <w:spacing w:line="240" w:lineRule="auto"/>
        <w:rPr>
          <w:u w:val="single"/>
        </w:rPr>
      </w:pPr>
      <w:r w:rsidRPr="00C7172C">
        <w:rPr>
          <w:u w:val="single"/>
        </w:rPr>
        <w:t xml:space="preserve"> </w:t>
      </w:r>
    </w:p>
    <w:p w:rsidR="00C95B37" w:rsidRPr="00C95B37" w:rsidRDefault="00C95B37" w:rsidP="00C95B37">
      <w:pPr>
        <w:spacing w:line="240" w:lineRule="auto"/>
      </w:pPr>
      <w:bookmarkStart w:id="0" w:name="_GoBack"/>
      <w:bookmarkEnd w:id="0"/>
    </w:p>
    <w:sectPr w:rsidR="00C95B37" w:rsidRPr="00C95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541E1"/>
    <w:multiLevelType w:val="hybridMultilevel"/>
    <w:tmpl w:val="1712805E"/>
    <w:lvl w:ilvl="0" w:tplc="05F24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A8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EC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46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AA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07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AE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48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C0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044905"/>
    <w:multiLevelType w:val="hybridMultilevel"/>
    <w:tmpl w:val="EE9A2F5E"/>
    <w:lvl w:ilvl="0" w:tplc="7B120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69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07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8A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6E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2A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04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AB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E3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FC"/>
    <w:rsid w:val="0016080D"/>
    <w:rsid w:val="007C5F88"/>
    <w:rsid w:val="00915A66"/>
    <w:rsid w:val="00C7172C"/>
    <w:rsid w:val="00C918FC"/>
    <w:rsid w:val="00C95B37"/>
    <w:rsid w:val="00D5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581F"/>
  <w15:chartTrackingRefBased/>
  <w15:docId w15:val="{77736134-AA93-46A9-9618-F65560A9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8F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5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9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Norton Girls School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Crewe</dc:creator>
  <cp:keywords/>
  <dc:description/>
  <cp:lastModifiedBy>Sarah Crewe</cp:lastModifiedBy>
  <cp:revision>2</cp:revision>
  <dcterms:created xsi:type="dcterms:W3CDTF">2020-04-18T10:51:00Z</dcterms:created>
  <dcterms:modified xsi:type="dcterms:W3CDTF">2020-04-18T12:13:00Z</dcterms:modified>
</cp:coreProperties>
</file>